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E35" w:rsidRDefault="00507E35" w:rsidP="00155343">
      <w:pPr>
        <w:spacing w:after="0" w:line="240" w:lineRule="auto"/>
        <w:ind w:left="360"/>
        <w:jc w:val="center"/>
        <w:rPr>
          <w:rFonts w:ascii="Arial" w:hAnsi="Arial" w:cs="Arial"/>
          <w:b/>
          <w:sz w:val="32"/>
          <w:szCs w:val="32"/>
          <w:u w:val="single"/>
        </w:rPr>
      </w:pPr>
      <w:r w:rsidRPr="00507E35">
        <w:rPr>
          <w:rFonts w:ascii="Arial" w:hAnsi="Arial" w:cs="Arial"/>
          <w:b/>
          <w:sz w:val="32"/>
          <w:szCs w:val="32"/>
          <w:u w:val="single"/>
        </w:rPr>
        <w:t xml:space="preserve">Court of Appeals Motion to Stay and </w:t>
      </w:r>
    </w:p>
    <w:p w:rsidR="00507E35" w:rsidRDefault="00507E35" w:rsidP="00155343">
      <w:pPr>
        <w:spacing w:after="0" w:line="240" w:lineRule="auto"/>
        <w:ind w:left="360"/>
        <w:jc w:val="center"/>
        <w:rPr>
          <w:rFonts w:ascii="Arial" w:hAnsi="Arial" w:cs="Arial"/>
          <w:b/>
          <w:sz w:val="32"/>
          <w:szCs w:val="32"/>
          <w:u w:val="single"/>
        </w:rPr>
      </w:pPr>
      <w:r w:rsidRPr="00507E35">
        <w:rPr>
          <w:rFonts w:ascii="Arial" w:hAnsi="Arial" w:cs="Arial"/>
          <w:b/>
          <w:sz w:val="32"/>
          <w:szCs w:val="32"/>
          <w:u w:val="single"/>
        </w:rPr>
        <w:t>Emergency Motion Process</w:t>
      </w:r>
    </w:p>
    <w:p w:rsidR="00155343" w:rsidRPr="00507E35" w:rsidRDefault="00155343" w:rsidP="00155343">
      <w:pPr>
        <w:spacing w:after="0" w:line="240" w:lineRule="auto"/>
        <w:ind w:left="360"/>
        <w:jc w:val="center"/>
        <w:rPr>
          <w:rFonts w:ascii="Arial" w:hAnsi="Arial" w:cs="Arial"/>
          <w:b/>
          <w:sz w:val="32"/>
          <w:szCs w:val="32"/>
          <w:u w:val="single"/>
        </w:rPr>
      </w:pPr>
    </w:p>
    <w:p w:rsidR="00911EE4" w:rsidRDefault="00911EE4" w:rsidP="00911EE4">
      <w:pPr>
        <w:pStyle w:val="ListParagraph"/>
        <w:numPr>
          <w:ilvl w:val="0"/>
          <w:numId w:val="2"/>
        </w:numPr>
        <w:ind w:left="360" w:right="270"/>
        <w:rPr>
          <w:rFonts w:ascii="Arial" w:hAnsi="Arial" w:cs="Arial"/>
          <w:sz w:val="24"/>
          <w:szCs w:val="24"/>
        </w:rPr>
      </w:pPr>
      <w:r w:rsidRPr="00507E35">
        <w:rPr>
          <w:rFonts w:ascii="Arial" w:hAnsi="Arial" w:cs="Arial"/>
          <w:sz w:val="24"/>
          <w:szCs w:val="24"/>
        </w:rPr>
        <w:t xml:space="preserve">To file an </w:t>
      </w:r>
      <w:r w:rsidRPr="001F250A">
        <w:rPr>
          <w:rFonts w:ascii="Arial" w:hAnsi="Arial" w:cs="Arial"/>
          <w:b/>
          <w:sz w:val="24"/>
          <w:szCs w:val="24"/>
          <w:u w:val="single"/>
        </w:rPr>
        <w:t>Emergency Motion</w:t>
      </w:r>
      <w:r w:rsidRPr="00507E35">
        <w:rPr>
          <w:rFonts w:ascii="Arial" w:hAnsi="Arial" w:cs="Arial"/>
          <w:sz w:val="24"/>
          <w:szCs w:val="24"/>
        </w:rPr>
        <w:t>:</w:t>
      </w:r>
    </w:p>
    <w:p w:rsidR="00911EE4" w:rsidRDefault="00911EE4" w:rsidP="00911EE4">
      <w:pPr>
        <w:pStyle w:val="ListParagraph"/>
        <w:ind w:left="360" w:right="270"/>
        <w:rPr>
          <w:rFonts w:ascii="Arial" w:hAnsi="Arial" w:cs="Arial"/>
          <w:sz w:val="24"/>
          <w:szCs w:val="24"/>
        </w:rPr>
      </w:pPr>
    </w:p>
    <w:p w:rsidR="00911EE4" w:rsidRDefault="00911EE4" w:rsidP="00911EE4">
      <w:pPr>
        <w:pStyle w:val="ListParagraph"/>
        <w:numPr>
          <w:ilvl w:val="1"/>
          <w:numId w:val="2"/>
        </w:numPr>
        <w:ind w:left="900"/>
        <w:rPr>
          <w:rFonts w:ascii="Arial" w:hAnsi="Arial" w:cs="Arial"/>
          <w:sz w:val="24"/>
          <w:szCs w:val="24"/>
        </w:rPr>
      </w:pPr>
      <w:r w:rsidRPr="00507E35">
        <w:rPr>
          <w:rFonts w:ascii="Arial" w:hAnsi="Arial" w:cs="Arial"/>
          <w:sz w:val="24"/>
          <w:szCs w:val="24"/>
        </w:rPr>
        <w:t xml:space="preserve">If you are moving on an </w:t>
      </w:r>
      <w:r w:rsidRPr="00507E35">
        <w:rPr>
          <w:rFonts w:ascii="Arial" w:hAnsi="Arial" w:cs="Arial"/>
          <w:sz w:val="24"/>
          <w:szCs w:val="24"/>
          <w:u w:val="single"/>
        </w:rPr>
        <w:t>emergency (accelerated) basis</w:t>
      </w:r>
      <w:r w:rsidRPr="00507E35">
        <w:rPr>
          <w:rFonts w:ascii="Arial" w:hAnsi="Arial" w:cs="Arial"/>
          <w:sz w:val="24"/>
          <w:szCs w:val="24"/>
        </w:rPr>
        <w:t xml:space="preserve"> for any reason, you need to fully comply with </w:t>
      </w:r>
      <w:hyperlink r:id="rId6" w:history="1">
        <w:r w:rsidRPr="00151581">
          <w:rPr>
            <w:rStyle w:val="Hyperlink"/>
            <w:rFonts w:ascii="Arial" w:hAnsi="Arial" w:cs="Arial"/>
            <w:sz w:val="24"/>
            <w:szCs w:val="24"/>
          </w:rPr>
          <w:t>RAP 17.4(b)</w:t>
        </w:r>
      </w:hyperlink>
      <w:r w:rsidRPr="00507E35">
        <w:rPr>
          <w:rFonts w:ascii="Arial" w:hAnsi="Arial" w:cs="Arial"/>
          <w:sz w:val="24"/>
          <w:szCs w:val="24"/>
        </w:rPr>
        <w:t>.  Among other things, this requires:</w:t>
      </w:r>
      <w:r>
        <w:rPr>
          <w:rFonts w:ascii="Arial" w:hAnsi="Arial" w:cs="Arial"/>
          <w:sz w:val="24"/>
          <w:szCs w:val="24"/>
        </w:rPr>
        <w:t xml:space="preserve"> </w:t>
      </w:r>
      <w:r w:rsidRPr="00151581">
        <w:rPr>
          <w:rFonts w:ascii="Arial" w:hAnsi="Arial" w:cs="Arial"/>
          <w:sz w:val="24"/>
          <w:szCs w:val="24"/>
        </w:rPr>
        <w:t>“[A]n affidavit stating the type of notice given and the time and date the notice was given to each person, and explain in the motion why it should be decided on an emergency basis.”</w:t>
      </w:r>
    </w:p>
    <w:p w:rsidR="00911EE4" w:rsidRPr="00D6693E" w:rsidRDefault="00911EE4" w:rsidP="00911EE4">
      <w:pPr>
        <w:pStyle w:val="ListParagraph"/>
        <w:ind w:left="900"/>
        <w:rPr>
          <w:rFonts w:ascii="Arial" w:hAnsi="Arial" w:cs="Arial"/>
          <w:sz w:val="24"/>
          <w:szCs w:val="24"/>
        </w:rPr>
      </w:pPr>
    </w:p>
    <w:p w:rsidR="00911EE4" w:rsidRDefault="00911EE4" w:rsidP="00911EE4">
      <w:pPr>
        <w:pStyle w:val="ListParagraph"/>
        <w:numPr>
          <w:ilvl w:val="1"/>
          <w:numId w:val="2"/>
        </w:numPr>
        <w:ind w:left="900" w:right="270"/>
        <w:rPr>
          <w:rFonts w:ascii="Arial" w:hAnsi="Arial" w:cs="Arial"/>
          <w:sz w:val="24"/>
          <w:szCs w:val="24"/>
        </w:rPr>
      </w:pPr>
      <w:r>
        <w:rPr>
          <w:rFonts w:ascii="Arial" w:hAnsi="Arial" w:cs="Arial"/>
          <w:sz w:val="24"/>
          <w:szCs w:val="24"/>
        </w:rPr>
        <w:t xml:space="preserve">Failure to fully comply with </w:t>
      </w:r>
      <w:hyperlink r:id="rId7" w:history="1">
        <w:r w:rsidRPr="00911EE4">
          <w:rPr>
            <w:rStyle w:val="Hyperlink"/>
            <w:rFonts w:ascii="Arial" w:hAnsi="Arial" w:cs="Arial"/>
            <w:sz w:val="24"/>
            <w:szCs w:val="24"/>
          </w:rPr>
          <w:t>RAP 17.4(b)</w:t>
        </w:r>
      </w:hyperlink>
      <w:r>
        <w:rPr>
          <w:rFonts w:ascii="Arial" w:hAnsi="Arial" w:cs="Arial"/>
          <w:sz w:val="24"/>
          <w:szCs w:val="24"/>
        </w:rPr>
        <w:t xml:space="preserve"> may result in rejection of your motion.</w:t>
      </w:r>
    </w:p>
    <w:p w:rsidR="00911EE4" w:rsidRPr="00911EE4" w:rsidRDefault="00911EE4" w:rsidP="00911EE4">
      <w:pPr>
        <w:pStyle w:val="ListParagraph"/>
        <w:rPr>
          <w:rFonts w:ascii="Arial" w:hAnsi="Arial" w:cs="Arial"/>
          <w:sz w:val="24"/>
          <w:szCs w:val="24"/>
        </w:rPr>
      </w:pPr>
    </w:p>
    <w:p w:rsidR="00911EE4" w:rsidRPr="00D6693E" w:rsidRDefault="00911EE4" w:rsidP="00911EE4">
      <w:pPr>
        <w:pStyle w:val="ListParagraph"/>
        <w:ind w:left="900" w:right="270"/>
        <w:rPr>
          <w:rFonts w:ascii="Arial" w:hAnsi="Arial" w:cs="Arial"/>
          <w:sz w:val="24"/>
          <w:szCs w:val="24"/>
        </w:rPr>
      </w:pPr>
    </w:p>
    <w:p w:rsidR="00507E35" w:rsidRPr="00D6693E" w:rsidRDefault="00507E35" w:rsidP="00D6693E">
      <w:pPr>
        <w:pStyle w:val="ListParagraph"/>
        <w:numPr>
          <w:ilvl w:val="0"/>
          <w:numId w:val="2"/>
        </w:numPr>
        <w:ind w:left="360"/>
        <w:rPr>
          <w:rFonts w:ascii="Arial" w:hAnsi="Arial" w:cs="Arial"/>
          <w:b/>
          <w:sz w:val="24"/>
          <w:szCs w:val="24"/>
        </w:rPr>
      </w:pPr>
      <w:r w:rsidRPr="00507E35">
        <w:rPr>
          <w:rFonts w:ascii="Arial" w:hAnsi="Arial" w:cs="Arial"/>
          <w:sz w:val="24"/>
          <w:szCs w:val="24"/>
        </w:rPr>
        <w:t xml:space="preserve">To file a </w:t>
      </w:r>
      <w:r w:rsidRPr="001F250A">
        <w:rPr>
          <w:rFonts w:ascii="Arial" w:hAnsi="Arial" w:cs="Arial"/>
          <w:b/>
          <w:sz w:val="24"/>
          <w:szCs w:val="24"/>
          <w:u w:val="single"/>
        </w:rPr>
        <w:t>Motion to Stay</w:t>
      </w:r>
      <w:r w:rsidRPr="00507E35">
        <w:rPr>
          <w:rFonts w:ascii="Arial" w:hAnsi="Arial" w:cs="Arial"/>
          <w:sz w:val="24"/>
          <w:szCs w:val="24"/>
        </w:rPr>
        <w:t>:</w:t>
      </w:r>
    </w:p>
    <w:p w:rsidR="00D6693E" w:rsidRPr="00507E35" w:rsidRDefault="00D6693E" w:rsidP="00D6693E">
      <w:pPr>
        <w:pStyle w:val="ListParagraph"/>
        <w:ind w:left="360"/>
        <w:rPr>
          <w:rFonts w:ascii="Arial" w:hAnsi="Arial" w:cs="Arial"/>
          <w:b/>
          <w:sz w:val="24"/>
          <w:szCs w:val="24"/>
        </w:rPr>
      </w:pPr>
    </w:p>
    <w:p w:rsidR="00507E35" w:rsidRPr="00507E35" w:rsidRDefault="00507E35" w:rsidP="00D6693E">
      <w:pPr>
        <w:pStyle w:val="ListParagraph"/>
        <w:numPr>
          <w:ilvl w:val="1"/>
          <w:numId w:val="2"/>
        </w:numPr>
        <w:ind w:left="900"/>
        <w:rPr>
          <w:rFonts w:ascii="Arial" w:hAnsi="Arial" w:cs="Arial"/>
          <w:sz w:val="24"/>
          <w:szCs w:val="24"/>
        </w:rPr>
      </w:pPr>
      <w:r w:rsidRPr="00507E35">
        <w:rPr>
          <w:rFonts w:ascii="Arial" w:hAnsi="Arial" w:cs="Arial"/>
          <w:sz w:val="24"/>
          <w:szCs w:val="24"/>
        </w:rPr>
        <w:t xml:space="preserve">Determine </w:t>
      </w:r>
      <w:r w:rsidR="007A53B6">
        <w:rPr>
          <w:rFonts w:ascii="Arial" w:hAnsi="Arial" w:cs="Arial"/>
          <w:sz w:val="24"/>
          <w:szCs w:val="24"/>
        </w:rPr>
        <w:t>where</w:t>
      </w:r>
      <w:r w:rsidRPr="00507E35">
        <w:rPr>
          <w:rFonts w:ascii="Arial" w:hAnsi="Arial" w:cs="Arial"/>
          <w:sz w:val="24"/>
          <w:szCs w:val="24"/>
        </w:rPr>
        <w:t xml:space="preserve"> to file the motion</w:t>
      </w:r>
      <w:r w:rsidR="007A53B6">
        <w:rPr>
          <w:rFonts w:ascii="Arial" w:hAnsi="Arial" w:cs="Arial"/>
          <w:sz w:val="24"/>
          <w:szCs w:val="24"/>
        </w:rPr>
        <w:t xml:space="preserve"> to st</w:t>
      </w:r>
      <w:r w:rsidR="006E194C">
        <w:rPr>
          <w:rFonts w:ascii="Arial" w:hAnsi="Arial" w:cs="Arial"/>
          <w:sz w:val="24"/>
          <w:szCs w:val="24"/>
        </w:rPr>
        <w:t xml:space="preserve">ay. As detailed in section 3, below, some stay motions are heard in superior court, </w:t>
      </w:r>
      <w:r w:rsidR="006E194C">
        <w:rPr>
          <w:rFonts w:ascii="Arial" w:hAnsi="Arial" w:cs="Arial"/>
          <w:b/>
          <w:i/>
          <w:sz w:val="24"/>
          <w:szCs w:val="24"/>
        </w:rPr>
        <w:t>not this court</w:t>
      </w:r>
      <w:r w:rsidR="006E194C">
        <w:rPr>
          <w:rFonts w:ascii="Arial" w:hAnsi="Arial" w:cs="Arial"/>
          <w:sz w:val="24"/>
          <w:szCs w:val="24"/>
        </w:rPr>
        <w:t xml:space="preserve">. Common stays </w:t>
      </w:r>
      <w:r w:rsidR="007B6B0E">
        <w:rPr>
          <w:rFonts w:ascii="Arial" w:hAnsi="Arial" w:cs="Arial"/>
          <w:sz w:val="24"/>
          <w:szCs w:val="24"/>
        </w:rPr>
        <w:t xml:space="preserve">heard by superior courts </w:t>
      </w:r>
      <w:bookmarkStart w:id="0" w:name="_GoBack"/>
      <w:bookmarkEnd w:id="0"/>
      <w:r w:rsidR="006E194C">
        <w:rPr>
          <w:rFonts w:ascii="Arial" w:hAnsi="Arial" w:cs="Arial"/>
          <w:sz w:val="24"/>
          <w:szCs w:val="24"/>
        </w:rPr>
        <w:t>are requests to stay money judgments or decisions affecting property. Stay motions not heard in superior court are heard in the court of appeals.</w:t>
      </w:r>
    </w:p>
    <w:p w:rsidR="00507E35" w:rsidRPr="00507E35" w:rsidRDefault="007A53B6" w:rsidP="00D6693E">
      <w:pPr>
        <w:pStyle w:val="ListParagraph"/>
        <w:ind w:left="900"/>
        <w:rPr>
          <w:rFonts w:ascii="Arial" w:hAnsi="Arial" w:cs="Arial"/>
          <w:sz w:val="24"/>
          <w:szCs w:val="24"/>
        </w:rPr>
      </w:pPr>
      <w:r w:rsidRPr="00507E35">
        <w:rPr>
          <w:noProof/>
          <w:sz w:val="24"/>
          <w:szCs w:val="24"/>
        </w:rPr>
        <mc:AlternateContent>
          <mc:Choice Requires="wps">
            <w:drawing>
              <wp:anchor distT="0" distB="0" distL="114300" distR="114300" simplePos="0" relativeHeight="251660288" behindDoc="0" locked="0" layoutInCell="1" allowOverlap="1" wp14:anchorId="5E912193" wp14:editId="00C1E5AA">
                <wp:simplePos x="0" y="0"/>
                <wp:positionH relativeFrom="margin">
                  <wp:posOffset>3352800</wp:posOffset>
                </wp:positionH>
                <wp:positionV relativeFrom="paragraph">
                  <wp:posOffset>200025</wp:posOffset>
                </wp:positionV>
                <wp:extent cx="2457450" cy="1581150"/>
                <wp:effectExtent l="19050" t="1905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2457450" cy="1581150"/>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rsidR="007A53B6" w:rsidRPr="006117F5" w:rsidRDefault="007A53B6" w:rsidP="007A53B6">
                            <w:pPr>
                              <w:spacing w:after="120" w:line="240" w:lineRule="auto"/>
                              <w:jc w:val="center"/>
                              <w:rPr>
                                <w:b/>
                                <w:sz w:val="26"/>
                                <w:szCs w:val="26"/>
                              </w:rPr>
                            </w:pPr>
                            <w:r>
                              <w:rPr>
                                <w:b/>
                                <w:sz w:val="26"/>
                                <w:szCs w:val="26"/>
                              </w:rPr>
                              <w:t xml:space="preserve">Stays heard by </w:t>
                            </w:r>
                            <w:r w:rsidR="00507E35" w:rsidRPr="006117F5">
                              <w:rPr>
                                <w:b/>
                                <w:sz w:val="26"/>
                                <w:szCs w:val="26"/>
                              </w:rPr>
                              <w:t>Court</w:t>
                            </w:r>
                            <w:r w:rsidR="00507E35">
                              <w:rPr>
                                <w:b/>
                                <w:sz w:val="26"/>
                                <w:szCs w:val="26"/>
                              </w:rPr>
                              <w:t xml:space="preserve"> of Appeals</w:t>
                            </w:r>
                            <w:r w:rsidR="00507E35" w:rsidRPr="006117F5">
                              <w:rPr>
                                <w:b/>
                                <w:sz w:val="26"/>
                                <w:szCs w:val="26"/>
                              </w:rPr>
                              <w:t>:</w:t>
                            </w:r>
                          </w:p>
                          <w:p w:rsidR="00507E35" w:rsidRDefault="00507E35" w:rsidP="00507E35">
                            <w:pPr>
                              <w:spacing w:after="0" w:line="240" w:lineRule="auto"/>
                              <w:rPr>
                                <w:b/>
                                <w:sz w:val="26"/>
                                <w:szCs w:val="26"/>
                              </w:rPr>
                            </w:pPr>
                            <w:r>
                              <w:rPr>
                                <w:b/>
                                <w:sz w:val="26"/>
                                <w:szCs w:val="26"/>
                              </w:rPr>
                              <w:t>1. Other Civil Cases</w:t>
                            </w:r>
                          </w:p>
                          <w:p w:rsidR="00507E35" w:rsidRPr="006117F5" w:rsidRDefault="00507E35" w:rsidP="00507E35">
                            <w:pPr>
                              <w:spacing w:after="0" w:line="240" w:lineRule="auto"/>
                              <w:ind w:left="270" w:hanging="270"/>
                              <w:rPr>
                                <w:b/>
                                <w:sz w:val="26"/>
                                <w:szCs w:val="26"/>
                              </w:rPr>
                            </w:pPr>
                            <w:r>
                              <w:rPr>
                                <w:b/>
                                <w:sz w:val="26"/>
                                <w:szCs w:val="26"/>
                              </w:rPr>
                              <w:t xml:space="preserve">2. Follow </w:t>
                            </w:r>
                            <w:hyperlink r:id="rId8" w:history="1">
                              <w:r w:rsidRPr="00483B71">
                                <w:rPr>
                                  <w:rStyle w:val="Hyperlink"/>
                                  <w:b/>
                                  <w:sz w:val="26"/>
                                  <w:szCs w:val="26"/>
                                </w:rPr>
                                <w:t>RAP 17</w:t>
                              </w:r>
                            </w:hyperlink>
                            <w:r>
                              <w:rPr>
                                <w:b/>
                                <w:sz w:val="26"/>
                                <w:szCs w:val="26"/>
                              </w:rPr>
                              <w:t xml:space="preserve"> Motions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12193" id="Text Box 4" o:spid="_x0000_s1026" style="position:absolute;left:0;text-align:left;margin-left:264pt;margin-top:15.75pt;width:193.5pt;height:1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" fillcolor="white [3201]" strokecolor="#4472c4 [3204]" strokeweight="2.25pt">
                <v:stroke joinstyle="miter"/>
                <v:textbox>
                  <w:txbxContent>
                    <w:p w:rsidR="007A53B6" w:rsidRPr="006117F5" w:rsidRDefault="007A53B6" w:rsidP="007A53B6">
                      <w:pPr>
                        <w:spacing w:after="120" w:line="240" w:lineRule="auto"/>
                        <w:jc w:val="center"/>
                        <w:rPr>
                          <w:b/>
                          <w:sz w:val="26"/>
                          <w:szCs w:val="26"/>
                        </w:rPr>
                      </w:pPr>
                      <w:r>
                        <w:rPr>
                          <w:b/>
                          <w:sz w:val="26"/>
                          <w:szCs w:val="26"/>
                        </w:rPr>
                        <w:t xml:space="preserve">Stays heard by </w:t>
                      </w:r>
                      <w:r w:rsidR="00507E35" w:rsidRPr="006117F5">
                        <w:rPr>
                          <w:b/>
                          <w:sz w:val="26"/>
                          <w:szCs w:val="26"/>
                        </w:rPr>
                        <w:t>Court</w:t>
                      </w:r>
                      <w:r w:rsidR="00507E35">
                        <w:rPr>
                          <w:b/>
                          <w:sz w:val="26"/>
                          <w:szCs w:val="26"/>
                        </w:rPr>
                        <w:t xml:space="preserve"> of Appeals</w:t>
                      </w:r>
                      <w:r w:rsidR="00507E35" w:rsidRPr="006117F5">
                        <w:rPr>
                          <w:b/>
                          <w:sz w:val="26"/>
                          <w:szCs w:val="26"/>
                        </w:rPr>
                        <w:t>:</w:t>
                      </w:r>
                    </w:p>
                    <w:p w:rsidR="00507E35" w:rsidRDefault="00507E35" w:rsidP="00507E35">
                      <w:pPr>
                        <w:spacing w:after="0" w:line="240" w:lineRule="auto"/>
                        <w:rPr>
                          <w:b/>
                          <w:sz w:val="26"/>
                          <w:szCs w:val="26"/>
                        </w:rPr>
                      </w:pPr>
                      <w:r>
                        <w:rPr>
                          <w:b/>
                          <w:sz w:val="26"/>
                          <w:szCs w:val="26"/>
                        </w:rPr>
                        <w:t>1. Other Civil Cases</w:t>
                      </w:r>
                    </w:p>
                    <w:p w:rsidR="00507E35" w:rsidRPr="006117F5" w:rsidRDefault="00507E35" w:rsidP="00507E35">
                      <w:pPr>
                        <w:spacing w:after="0" w:line="240" w:lineRule="auto"/>
                        <w:ind w:left="270" w:hanging="270"/>
                        <w:rPr>
                          <w:b/>
                          <w:sz w:val="26"/>
                          <w:szCs w:val="26"/>
                        </w:rPr>
                      </w:pPr>
                      <w:r>
                        <w:rPr>
                          <w:b/>
                          <w:sz w:val="26"/>
                          <w:szCs w:val="26"/>
                        </w:rPr>
                        <w:t xml:space="preserve">2. Follow </w:t>
                      </w:r>
                      <w:hyperlink r:id="rId9" w:history="1">
                        <w:r w:rsidRPr="00483B71">
                          <w:rPr>
                            <w:rStyle w:val="Hyperlink"/>
                            <w:b/>
                            <w:sz w:val="26"/>
                            <w:szCs w:val="26"/>
                          </w:rPr>
                          <w:t>RAP 17</w:t>
                        </w:r>
                      </w:hyperlink>
                      <w:r>
                        <w:rPr>
                          <w:b/>
                          <w:sz w:val="26"/>
                          <w:szCs w:val="26"/>
                        </w:rPr>
                        <w:t xml:space="preserve"> Motions Procedure</w:t>
                      </w:r>
                    </w:p>
                  </w:txbxContent>
                </v:textbox>
                <w10:wrap type="square" anchorx="margin"/>
              </v:roundrect>
            </w:pict>
          </mc:Fallback>
        </mc:AlternateContent>
      </w:r>
      <w:r w:rsidRPr="00507E35">
        <w:rPr>
          <w:noProof/>
          <w:sz w:val="24"/>
          <w:szCs w:val="24"/>
        </w:rPr>
        <mc:AlternateContent>
          <mc:Choice Requires="wps">
            <w:drawing>
              <wp:anchor distT="0" distB="0" distL="114300" distR="114300" simplePos="0" relativeHeight="251659264" behindDoc="0" locked="0" layoutInCell="1" allowOverlap="1" wp14:anchorId="6C2BA7EA" wp14:editId="61D5B517">
                <wp:simplePos x="0" y="0"/>
                <wp:positionH relativeFrom="column">
                  <wp:posOffset>533400</wp:posOffset>
                </wp:positionH>
                <wp:positionV relativeFrom="paragraph">
                  <wp:posOffset>209550</wp:posOffset>
                </wp:positionV>
                <wp:extent cx="2743200" cy="1571625"/>
                <wp:effectExtent l="19050" t="19050" r="1905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1571625"/>
                        </a:xfrm>
                        <a:prstGeom prst="roundRect">
                          <a:avLst/>
                        </a:prstGeom>
                        <a:ln w="28575"/>
                      </wps:spPr>
                      <wps:style>
                        <a:lnRef idx="2">
                          <a:schemeClr val="accent1"/>
                        </a:lnRef>
                        <a:fillRef idx="1">
                          <a:schemeClr val="lt1"/>
                        </a:fillRef>
                        <a:effectRef idx="0">
                          <a:schemeClr val="accent1"/>
                        </a:effectRef>
                        <a:fontRef idx="minor">
                          <a:schemeClr val="dk1"/>
                        </a:fontRef>
                      </wps:style>
                      <wps:txbx>
                        <w:txbxContent>
                          <w:p w:rsidR="00507E35" w:rsidRPr="006117F5" w:rsidRDefault="007A53B6" w:rsidP="00507E35">
                            <w:pPr>
                              <w:spacing w:after="0" w:line="360" w:lineRule="auto"/>
                              <w:jc w:val="center"/>
                              <w:rPr>
                                <w:b/>
                                <w:sz w:val="26"/>
                                <w:szCs w:val="26"/>
                              </w:rPr>
                            </w:pPr>
                            <w:r>
                              <w:rPr>
                                <w:b/>
                                <w:sz w:val="26"/>
                                <w:szCs w:val="26"/>
                              </w:rPr>
                              <w:t xml:space="preserve">Stays heard by </w:t>
                            </w:r>
                            <w:r w:rsidR="00507E35" w:rsidRPr="006117F5">
                              <w:rPr>
                                <w:b/>
                                <w:sz w:val="26"/>
                                <w:szCs w:val="26"/>
                              </w:rPr>
                              <w:t>Trial Court:</w:t>
                            </w:r>
                          </w:p>
                          <w:p w:rsidR="00507E35" w:rsidRDefault="00507E35" w:rsidP="00507E35">
                            <w:pPr>
                              <w:spacing w:after="0" w:line="240" w:lineRule="auto"/>
                              <w:rPr>
                                <w:b/>
                                <w:sz w:val="26"/>
                                <w:szCs w:val="26"/>
                              </w:rPr>
                            </w:pPr>
                            <w:r>
                              <w:rPr>
                                <w:b/>
                                <w:sz w:val="26"/>
                                <w:szCs w:val="26"/>
                              </w:rPr>
                              <w:t xml:space="preserve">1. </w:t>
                            </w:r>
                            <w:r w:rsidRPr="006117F5">
                              <w:rPr>
                                <w:b/>
                                <w:sz w:val="26"/>
                                <w:szCs w:val="26"/>
                              </w:rPr>
                              <w:t>Money Judgment</w:t>
                            </w:r>
                            <w:r>
                              <w:rPr>
                                <w:b/>
                                <w:sz w:val="26"/>
                                <w:szCs w:val="26"/>
                              </w:rPr>
                              <w:t xml:space="preserve"> </w:t>
                            </w:r>
                          </w:p>
                          <w:p w:rsidR="00507E35" w:rsidRDefault="00507E35" w:rsidP="00507E35">
                            <w:pPr>
                              <w:spacing w:after="0" w:line="240" w:lineRule="auto"/>
                              <w:ind w:left="270" w:hanging="270"/>
                              <w:rPr>
                                <w:b/>
                                <w:sz w:val="26"/>
                                <w:szCs w:val="26"/>
                              </w:rPr>
                            </w:pPr>
                            <w:r>
                              <w:rPr>
                                <w:b/>
                                <w:sz w:val="26"/>
                                <w:szCs w:val="26"/>
                              </w:rPr>
                              <w:t>2. Decisions Affecting Property (e.g. evictions)</w:t>
                            </w:r>
                          </w:p>
                          <w:p w:rsidR="00507E35" w:rsidRPr="006117F5" w:rsidRDefault="00507E35" w:rsidP="00507E35">
                            <w:pPr>
                              <w:spacing w:after="0" w:line="240" w:lineRule="auto"/>
                              <w:ind w:left="270" w:hanging="270"/>
                              <w:rPr>
                                <w:b/>
                                <w:sz w:val="26"/>
                                <w:szCs w:val="26"/>
                              </w:rPr>
                            </w:pPr>
                            <w:r>
                              <w:rPr>
                                <w:b/>
                                <w:sz w:val="26"/>
                                <w:szCs w:val="26"/>
                              </w:rPr>
                              <w:t>3. Follow Trial Court Procedure to properly file the Motion to Stay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BA7EA" id="Text Box 3" o:spid="_x0000_s1027" style="position:absolute;left:0;text-align:left;margin-left:42pt;margin-top:16.5pt;width:3in;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" fillcolor="white [3201]" strokecolor="#4472c4 [3204]" strokeweight="2.25pt">
                <v:stroke joinstyle="miter"/>
                <v:textbox>
                  <w:txbxContent>
                    <w:p w:rsidR="00507E35" w:rsidRPr="006117F5" w:rsidRDefault="007A53B6" w:rsidP="00507E35">
                      <w:pPr>
                        <w:spacing w:after="0" w:line="360" w:lineRule="auto"/>
                        <w:jc w:val="center"/>
                        <w:rPr>
                          <w:b/>
                          <w:sz w:val="26"/>
                          <w:szCs w:val="26"/>
                        </w:rPr>
                      </w:pPr>
                      <w:r>
                        <w:rPr>
                          <w:b/>
                          <w:sz w:val="26"/>
                          <w:szCs w:val="26"/>
                        </w:rPr>
                        <w:t xml:space="preserve">Stays heard by </w:t>
                      </w:r>
                      <w:r w:rsidR="00507E35" w:rsidRPr="006117F5">
                        <w:rPr>
                          <w:b/>
                          <w:sz w:val="26"/>
                          <w:szCs w:val="26"/>
                        </w:rPr>
                        <w:t>Trial Court:</w:t>
                      </w:r>
                    </w:p>
                    <w:p w:rsidR="00507E35" w:rsidRDefault="00507E35" w:rsidP="00507E35">
                      <w:pPr>
                        <w:spacing w:after="0" w:line="240" w:lineRule="auto"/>
                        <w:rPr>
                          <w:b/>
                          <w:sz w:val="26"/>
                          <w:szCs w:val="26"/>
                        </w:rPr>
                      </w:pPr>
                      <w:r>
                        <w:rPr>
                          <w:b/>
                          <w:sz w:val="26"/>
                          <w:szCs w:val="26"/>
                        </w:rPr>
                        <w:t xml:space="preserve">1. </w:t>
                      </w:r>
                      <w:r w:rsidRPr="006117F5">
                        <w:rPr>
                          <w:b/>
                          <w:sz w:val="26"/>
                          <w:szCs w:val="26"/>
                        </w:rPr>
                        <w:t>Money Judgment</w:t>
                      </w:r>
                      <w:r>
                        <w:rPr>
                          <w:b/>
                          <w:sz w:val="26"/>
                          <w:szCs w:val="26"/>
                        </w:rPr>
                        <w:t xml:space="preserve"> </w:t>
                      </w:r>
                    </w:p>
                    <w:p w:rsidR="00507E35" w:rsidRDefault="00507E35" w:rsidP="00507E35">
                      <w:pPr>
                        <w:spacing w:after="0" w:line="240" w:lineRule="auto"/>
                        <w:ind w:left="270" w:hanging="270"/>
                        <w:rPr>
                          <w:b/>
                          <w:sz w:val="26"/>
                          <w:szCs w:val="26"/>
                        </w:rPr>
                      </w:pPr>
                      <w:r>
                        <w:rPr>
                          <w:b/>
                          <w:sz w:val="26"/>
                          <w:szCs w:val="26"/>
                        </w:rPr>
                        <w:t>2. Decisions Affecting Property (e.g. evictions)</w:t>
                      </w:r>
                    </w:p>
                    <w:p w:rsidR="00507E35" w:rsidRPr="006117F5" w:rsidRDefault="00507E35" w:rsidP="00507E35">
                      <w:pPr>
                        <w:spacing w:after="0" w:line="240" w:lineRule="auto"/>
                        <w:ind w:left="270" w:hanging="270"/>
                        <w:rPr>
                          <w:b/>
                          <w:sz w:val="26"/>
                          <w:szCs w:val="26"/>
                        </w:rPr>
                      </w:pPr>
                      <w:r>
                        <w:rPr>
                          <w:b/>
                          <w:sz w:val="26"/>
                          <w:szCs w:val="26"/>
                        </w:rPr>
                        <w:t>3. Follow Trial Court Procedure to properly file the Motion to Stay</w:t>
                      </w:r>
                    </w:p>
                  </w:txbxContent>
                </v:textbox>
                <w10:wrap type="square"/>
              </v:roundrect>
            </w:pict>
          </mc:Fallback>
        </mc:AlternateContent>
      </w:r>
    </w:p>
    <w:p w:rsidR="00507E35" w:rsidRPr="00507E35" w:rsidRDefault="00507E35" w:rsidP="00D6693E">
      <w:pPr>
        <w:pStyle w:val="ListParagraph"/>
        <w:ind w:left="900" w:right="270"/>
        <w:rPr>
          <w:rFonts w:ascii="Arial" w:hAnsi="Arial" w:cs="Arial"/>
          <w:sz w:val="24"/>
          <w:szCs w:val="24"/>
        </w:rPr>
      </w:pPr>
    </w:p>
    <w:p w:rsidR="006E194C" w:rsidRDefault="006E194C" w:rsidP="00D6693E">
      <w:pPr>
        <w:pStyle w:val="ListParagraph"/>
        <w:numPr>
          <w:ilvl w:val="1"/>
          <w:numId w:val="2"/>
        </w:numPr>
        <w:ind w:left="900" w:right="270"/>
        <w:rPr>
          <w:rFonts w:ascii="Arial" w:hAnsi="Arial" w:cs="Arial"/>
          <w:sz w:val="24"/>
          <w:szCs w:val="24"/>
        </w:rPr>
      </w:pPr>
      <w:r>
        <w:rPr>
          <w:rFonts w:ascii="Arial" w:hAnsi="Arial" w:cs="Arial"/>
          <w:sz w:val="24"/>
          <w:szCs w:val="24"/>
        </w:rPr>
        <w:t xml:space="preserve">If you file a stay motion in the court of appeals that needs to be heard in superior court, the court of appeals will </w:t>
      </w:r>
      <w:r w:rsidRPr="006E194C">
        <w:rPr>
          <w:rFonts w:ascii="Arial" w:hAnsi="Arial" w:cs="Arial"/>
          <w:b/>
          <w:i/>
          <w:sz w:val="24"/>
          <w:szCs w:val="24"/>
        </w:rPr>
        <w:t>dismiss your motion</w:t>
      </w:r>
      <w:r>
        <w:rPr>
          <w:rFonts w:ascii="Arial" w:hAnsi="Arial" w:cs="Arial"/>
          <w:sz w:val="24"/>
          <w:szCs w:val="24"/>
        </w:rPr>
        <w:t>, please review the applicable rules in section 3, below, before filing your motion.</w:t>
      </w:r>
    </w:p>
    <w:p w:rsidR="00911EE4" w:rsidRPr="00507E35" w:rsidRDefault="00911EE4" w:rsidP="00151581">
      <w:pPr>
        <w:pStyle w:val="ListParagraph"/>
        <w:ind w:left="1440" w:right="270"/>
        <w:rPr>
          <w:rFonts w:ascii="Arial" w:hAnsi="Arial" w:cs="Arial"/>
          <w:sz w:val="24"/>
          <w:szCs w:val="24"/>
        </w:rPr>
      </w:pPr>
    </w:p>
    <w:p w:rsidR="00507E35" w:rsidRDefault="00CE79C8" w:rsidP="00D6693E">
      <w:pPr>
        <w:pStyle w:val="ListParagraph"/>
        <w:numPr>
          <w:ilvl w:val="0"/>
          <w:numId w:val="2"/>
        </w:numPr>
        <w:ind w:left="360"/>
        <w:rPr>
          <w:rFonts w:ascii="Arial" w:hAnsi="Arial" w:cs="Arial"/>
          <w:sz w:val="24"/>
          <w:szCs w:val="24"/>
        </w:rPr>
      </w:pPr>
      <w:r>
        <w:rPr>
          <w:rFonts w:ascii="Arial" w:hAnsi="Arial" w:cs="Arial"/>
          <w:sz w:val="24"/>
          <w:szCs w:val="24"/>
        </w:rPr>
        <w:t xml:space="preserve">The following are excerpts </w:t>
      </w:r>
      <w:r w:rsidR="00151581">
        <w:rPr>
          <w:rFonts w:ascii="Arial" w:hAnsi="Arial" w:cs="Arial"/>
          <w:sz w:val="24"/>
          <w:szCs w:val="24"/>
        </w:rPr>
        <w:t>f</w:t>
      </w:r>
      <w:r w:rsidR="001F250A">
        <w:rPr>
          <w:rFonts w:ascii="Arial" w:hAnsi="Arial" w:cs="Arial"/>
          <w:sz w:val="24"/>
          <w:szCs w:val="24"/>
        </w:rPr>
        <w:t>rom</w:t>
      </w:r>
      <w:r w:rsidR="00151581">
        <w:rPr>
          <w:rFonts w:ascii="Arial" w:hAnsi="Arial" w:cs="Arial"/>
          <w:sz w:val="24"/>
          <w:szCs w:val="24"/>
        </w:rPr>
        <w:t xml:space="preserve"> the Rules of Appellate Procedure</w:t>
      </w:r>
      <w:r w:rsidR="001F250A">
        <w:rPr>
          <w:rFonts w:ascii="Arial" w:hAnsi="Arial" w:cs="Arial"/>
          <w:sz w:val="24"/>
          <w:szCs w:val="24"/>
        </w:rPr>
        <w:t xml:space="preserve"> regarding motions to stay</w:t>
      </w:r>
      <w:r w:rsidR="00151581">
        <w:rPr>
          <w:rFonts w:ascii="Arial" w:hAnsi="Arial" w:cs="Arial"/>
          <w:sz w:val="24"/>
          <w:szCs w:val="24"/>
        </w:rPr>
        <w:t>.</w:t>
      </w:r>
      <w:r w:rsidR="00F354CD" w:rsidRPr="00507E35">
        <w:rPr>
          <w:rFonts w:ascii="Arial" w:hAnsi="Arial" w:cs="Arial"/>
          <w:i/>
          <w:sz w:val="24"/>
          <w:szCs w:val="24"/>
        </w:rPr>
        <w:t xml:space="preserve"> </w:t>
      </w:r>
      <w:r w:rsidR="00151581">
        <w:rPr>
          <w:rFonts w:ascii="Arial" w:hAnsi="Arial" w:cs="Arial"/>
          <w:i/>
          <w:sz w:val="24"/>
          <w:szCs w:val="24"/>
        </w:rPr>
        <w:t>This information</w:t>
      </w:r>
      <w:r w:rsidR="002C2A92" w:rsidRPr="00507E35">
        <w:rPr>
          <w:rFonts w:ascii="Arial" w:hAnsi="Arial" w:cs="Arial"/>
          <w:i/>
          <w:sz w:val="24"/>
          <w:szCs w:val="24"/>
        </w:rPr>
        <w:t xml:space="preserve"> is intended to serve as </w:t>
      </w:r>
      <w:r w:rsidR="00810EFB" w:rsidRPr="00507E35">
        <w:rPr>
          <w:rFonts w:ascii="Arial" w:hAnsi="Arial" w:cs="Arial"/>
          <w:i/>
          <w:sz w:val="24"/>
          <w:szCs w:val="24"/>
        </w:rPr>
        <w:t xml:space="preserve">legal information not </w:t>
      </w:r>
      <w:r w:rsidR="002C2A92" w:rsidRPr="00507E35">
        <w:rPr>
          <w:rFonts w:ascii="Arial" w:hAnsi="Arial" w:cs="Arial"/>
          <w:i/>
          <w:sz w:val="24"/>
          <w:szCs w:val="24"/>
        </w:rPr>
        <w:t>legal advice</w:t>
      </w:r>
      <w:r w:rsidR="002C2A92" w:rsidRPr="00507E35">
        <w:rPr>
          <w:rFonts w:ascii="Arial" w:hAnsi="Arial" w:cs="Arial"/>
          <w:sz w:val="24"/>
          <w:szCs w:val="24"/>
        </w:rPr>
        <w:t>.</w:t>
      </w:r>
    </w:p>
    <w:p w:rsidR="00911EE4" w:rsidRDefault="00911EE4" w:rsidP="00911EE4">
      <w:pPr>
        <w:pStyle w:val="ListParagraph"/>
        <w:ind w:left="360"/>
        <w:rPr>
          <w:rFonts w:ascii="Arial" w:hAnsi="Arial" w:cs="Arial"/>
          <w:sz w:val="24"/>
          <w:szCs w:val="24"/>
        </w:rPr>
      </w:pPr>
    </w:p>
    <w:p w:rsidR="00151581" w:rsidRDefault="002C2A92" w:rsidP="00D6693E">
      <w:pPr>
        <w:pStyle w:val="ListParagraph"/>
        <w:numPr>
          <w:ilvl w:val="1"/>
          <w:numId w:val="2"/>
        </w:numPr>
        <w:ind w:left="900"/>
        <w:rPr>
          <w:rFonts w:ascii="Arial" w:hAnsi="Arial" w:cs="Arial"/>
          <w:sz w:val="24"/>
          <w:szCs w:val="24"/>
        </w:rPr>
      </w:pPr>
      <w:r w:rsidRPr="00151581">
        <w:rPr>
          <w:rFonts w:ascii="Arial" w:hAnsi="Arial" w:cs="Arial"/>
          <w:sz w:val="24"/>
          <w:szCs w:val="24"/>
        </w:rPr>
        <w:t xml:space="preserve">If the superior court’s decision imposed a </w:t>
      </w:r>
      <w:r w:rsidRPr="00151581">
        <w:rPr>
          <w:rFonts w:ascii="Arial" w:hAnsi="Arial" w:cs="Arial"/>
          <w:sz w:val="24"/>
          <w:szCs w:val="24"/>
          <w:u w:val="single"/>
        </w:rPr>
        <w:t>monetary judgment</w:t>
      </w:r>
      <w:r w:rsidRPr="00151581">
        <w:rPr>
          <w:rFonts w:ascii="Arial" w:hAnsi="Arial" w:cs="Arial"/>
          <w:sz w:val="24"/>
          <w:szCs w:val="24"/>
        </w:rPr>
        <w:t xml:space="preserve">, the procedures for seeking a stay </w:t>
      </w:r>
      <w:r w:rsidR="00F354CD" w:rsidRPr="00151581">
        <w:rPr>
          <w:rFonts w:ascii="Arial" w:hAnsi="Arial" w:cs="Arial"/>
          <w:sz w:val="24"/>
          <w:szCs w:val="24"/>
        </w:rPr>
        <w:t xml:space="preserve">of that decision </w:t>
      </w:r>
      <w:r w:rsidRPr="00151581">
        <w:rPr>
          <w:rFonts w:ascii="Arial" w:hAnsi="Arial" w:cs="Arial"/>
          <w:sz w:val="24"/>
          <w:szCs w:val="24"/>
        </w:rPr>
        <w:t xml:space="preserve">are contained in RAP </w:t>
      </w:r>
      <w:hyperlink r:id="rId10" w:history="1">
        <w:r w:rsidRPr="00151581">
          <w:rPr>
            <w:rStyle w:val="Hyperlink"/>
            <w:rFonts w:ascii="Arial" w:hAnsi="Arial" w:cs="Arial"/>
            <w:sz w:val="24"/>
            <w:szCs w:val="24"/>
          </w:rPr>
          <w:t>8.1(b)(1)</w:t>
        </w:r>
      </w:hyperlink>
      <w:r w:rsidRPr="00151581">
        <w:rPr>
          <w:rFonts w:ascii="Arial" w:hAnsi="Arial" w:cs="Arial"/>
          <w:sz w:val="24"/>
          <w:szCs w:val="24"/>
        </w:rPr>
        <w:t>.  This rule provides, in relevant part:</w:t>
      </w:r>
      <w:r w:rsidR="00151581">
        <w:rPr>
          <w:rFonts w:ascii="Arial" w:hAnsi="Arial" w:cs="Arial"/>
          <w:sz w:val="24"/>
          <w:szCs w:val="24"/>
        </w:rPr>
        <w:t xml:space="preserve"> </w:t>
      </w:r>
      <w:r w:rsidRPr="00151581">
        <w:rPr>
          <w:rFonts w:ascii="Arial" w:hAnsi="Arial" w:cs="Arial"/>
          <w:sz w:val="24"/>
          <w:szCs w:val="24"/>
        </w:rPr>
        <w:t xml:space="preserve">“Except when prohibited by statute, a party may stay </w:t>
      </w:r>
      <w:r w:rsidRPr="00151581">
        <w:rPr>
          <w:rFonts w:ascii="Arial" w:hAnsi="Arial" w:cs="Arial"/>
          <w:sz w:val="24"/>
          <w:szCs w:val="24"/>
        </w:rPr>
        <w:lastRenderedPageBreak/>
        <w:t>enforcement of a money judgment by filing in the trial court a supersedeas bond or cash, or by alternate security approved by the trial court.”</w:t>
      </w:r>
    </w:p>
    <w:p w:rsidR="001F250A" w:rsidRDefault="001F250A" w:rsidP="00D6693E">
      <w:pPr>
        <w:pStyle w:val="ListParagraph"/>
        <w:ind w:left="900"/>
        <w:rPr>
          <w:rFonts w:ascii="Arial" w:hAnsi="Arial" w:cs="Arial"/>
          <w:sz w:val="24"/>
          <w:szCs w:val="24"/>
        </w:rPr>
      </w:pPr>
    </w:p>
    <w:p w:rsidR="00151581" w:rsidRDefault="002C2A92" w:rsidP="00D6693E">
      <w:pPr>
        <w:pStyle w:val="ListParagraph"/>
        <w:numPr>
          <w:ilvl w:val="1"/>
          <w:numId w:val="2"/>
        </w:numPr>
        <w:ind w:left="900"/>
        <w:rPr>
          <w:rFonts w:ascii="Arial" w:hAnsi="Arial" w:cs="Arial"/>
          <w:sz w:val="24"/>
          <w:szCs w:val="24"/>
        </w:rPr>
      </w:pPr>
      <w:r w:rsidRPr="00151581">
        <w:rPr>
          <w:rFonts w:ascii="Arial" w:hAnsi="Arial" w:cs="Arial"/>
          <w:sz w:val="24"/>
          <w:szCs w:val="24"/>
        </w:rPr>
        <w:t xml:space="preserve">If the superior court’s decision involved </w:t>
      </w:r>
      <w:r w:rsidR="006457E8" w:rsidRPr="00151581">
        <w:rPr>
          <w:rFonts w:ascii="Arial" w:hAnsi="Arial" w:cs="Arial"/>
          <w:sz w:val="24"/>
          <w:szCs w:val="24"/>
          <w:u w:val="single"/>
        </w:rPr>
        <w:t>real or personal property</w:t>
      </w:r>
      <w:r w:rsidR="006457E8" w:rsidRPr="00151581">
        <w:rPr>
          <w:rFonts w:ascii="Arial" w:hAnsi="Arial" w:cs="Arial"/>
          <w:sz w:val="24"/>
          <w:szCs w:val="24"/>
        </w:rPr>
        <w:t xml:space="preserve">, the procedures for seeking a stay are contained in </w:t>
      </w:r>
      <w:hyperlink r:id="rId11" w:history="1">
        <w:r w:rsidR="006457E8" w:rsidRPr="00151581">
          <w:rPr>
            <w:rStyle w:val="Hyperlink"/>
            <w:rFonts w:ascii="Arial" w:hAnsi="Arial" w:cs="Arial"/>
            <w:sz w:val="24"/>
            <w:szCs w:val="24"/>
          </w:rPr>
          <w:t>RAP 8.1(b)(2)</w:t>
        </w:r>
      </w:hyperlink>
      <w:r w:rsidR="006457E8" w:rsidRPr="00151581">
        <w:rPr>
          <w:rFonts w:ascii="Arial" w:hAnsi="Arial" w:cs="Arial"/>
          <w:sz w:val="24"/>
          <w:szCs w:val="24"/>
        </w:rPr>
        <w:t>.  This rule provides, in relevant part:</w:t>
      </w:r>
      <w:r w:rsidR="00151581" w:rsidRPr="00151581">
        <w:rPr>
          <w:rFonts w:ascii="Arial" w:hAnsi="Arial" w:cs="Arial"/>
          <w:sz w:val="24"/>
          <w:szCs w:val="24"/>
        </w:rPr>
        <w:t xml:space="preserve"> </w:t>
      </w:r>
      <w:r w:rsidR="006457E8" w:rsidRPr="00151581">
        <w:rPr>
          <w:rFonts w:ascii="Arial" w:hAnsi="Arial" w:cs="Arial"/>
          <w:sz w:val="24"/>
          <w:szCs w:val="24"/>
        </w:rPr>
        <w:t>“Except where prohibited by statute, a party may obtain a stay of enforcement of a decision affecting rights to possession, ownership or use of real property or of tangible personal property, or intangible personal property, by filing in the trial court a supersedeas bond or cash, or alternate security approved by the trial court.”</w:t>
      </w:r>
    </w:p>
    <w:p w:rsidR="001F250A" w:rsidRDefault="001F250A" w:rsidP="00D6693E">
      <w:pPr>
        <w:pStyle w:val="ListParagraph"/>
        <w:ind w:left="900"/>
        <w:rPr>
          <w:rFonts w:ascii="Arial" w:hAnsi="Arial" w:cs="Arial"/>
          <w:sz w:val="24"/>
          <w:szCs w:val="24"/>
        </w:rPr>
      </w:pPr>
    </w:p>
    <w:p w:rsidR="00151581" w:rsidRDefault="006457E8" w:rsidP="00D6693E">
      <w:pPr>
        <w:pStyle w:val="ListParagraph"/>
        <w:numPr>
          <w:ilvl w:val="1"/>
          <w:numId w:val="2"/>
        </w:numPr>
        <w:ind w:left="900"/>
        <w:rPr>
          <w:rFonts w:ascii="Arial" w:hAnsi="Arial" w:cs="Arial"/>
          <w:sz w:val="24"/>
          <w:szCs w:val="24"/>
        </w:rPr>
      </w:pPr>
      <w:r w:rsidRPr="00151581">
        <w:rPr>
          <w:rFonts w:ascii="Arial" w:hAnsi="Arial" w:cs="Arial"/>
          <w:sz w:val="24"/>
          <w:szCs w:val="24"/>
        </w:rPr>
        <w:t xml:space="preserve">Certain other property-related determinations may be covered by statute.  A common example is </w:t>
      </w:r>
      <w:hyperlink r:id="rId12" w:history="1">
        <w:r w:rsidRPr="00151581">
          <w:rPr>
            <w:rStyle w:val="Hyperlink"/>
            <w:rFonts w:ascii="Arial" w:hAnsi="Arial" w:cs="Arial"/>
            <w:sz w:val="24"/>
            <w:szCs w:val="24"/>
          </w:rPr>
          <w:t>RCW 59.12.200-.220</w:t>
        </w:r>
      </w:hyperlink>
      <w:r w:rsidR="00F354CD" w:rsidRPr="00151581">
        <w:rPr>
          <w:rFonts w:ascii="Arial" w:hAnsi="Arial" w:cs="Arial"/>
          <w:sz w:val="24"/>
          <w:szCs w:val="24"/>
        </w:rPr>
        <w:t xml:space="preserve"> (stays in forcible entry and unlawful detainer cases).</w:t>
      </w:r>
      <w:r w:rsidR="006E194C">
        <w:rPr>
          <w:rFonts w:ascii="Arial" w:hAnsi="Arial" w:cs="Arial"/>
          <w:sz w:val="24"/>
          <w:szCs w:val="24"/>
        </w:rPr>
        <w:t xml:space="preserve"> Stays in other types of matters may also be covered by other statutes.</w:t>
      </w:r>
    </w:p>
    <w:p w:rsidR="001F250A" w:rsidRDefault="001F250A" w:rsidP="00D6693E">
      <w:pPr>
        <w:pStyle w:val="ListParagraph"/>
        <w:ind w:left="900"/>
        <w:rPr>
          <w:rFonts w:ascii="Arial" w:hAnsi="Arial" w:cs="Arial"/>
          <w:sz w:val="24"/>
          <w:szCs w:val="24"/>
        </w:rPr>
      </w:pPr>
    </w:p>
    <w:p w:rsidR="006E194C" w:rsidRDefault="006457E8" w:rsidP="00D6693E">
      <w:pPr>
        <w:pStyle w:val="ListParagraph"/>
        <w:numPr>
          <w:ilvl w:val="1"/>
          <w:numId w:val="2"/>
        </w:numPr>
        <w:ind w:left="900"/>
        <w:rPr>
          <w:rFonts w:ascii="Arial" w:hAnsi="Arial" w:cs="Arial"/>
          <w:sz w:val="24"/>
          <w:szCs w:val="24"/>
        </w:rPr>
      </w:pPr>
      <w:r w:rsidRPr="00151581">
        <w:rPr>
          <w:rFonts w:ascii="Arial" w:hAnsi="Arial" w:cs="Arial"/>
          <w:sz w:val="24"/>
          <w:szCs w:val="24"/>
        </w:rPr>
        <w:t xml:space="preserve">Civil decisions </w:t>
      </w:r>
      <w:r w:rsidRPr="00151581">
        <w:rPr>
          <w:rFonts w:ascii="Arial" w:hAnsi="Arial" w:cs="Arial"/>
          <w:sz w:val="24"/>
          <w:szCs w:val="24"/>
          <w:u w:val="single"/>
        </w:rPr>
        <w:t>not</w:t>
      </w:r>
      <w:r w:rsidRPr="00151581">
        <w:rPr>
          <w:rFonts w:ascii="Arial" w:hAnsi="Arial" w:cs="Arial"/>
          <w:sz w:val="24"/>
          <w:szCs w:val="24"/>
        </w:rPr>
        <w:t xml:space="preserve"> covered by </w:t>
      </w:r>
      <w:hyperlink r:id="rId13" w:history="1">
        <w:r w:rsidRPr="00151581">
          <w:rPr>
            <w:rStyle w:val="Hyperlink"/>
            <w:rFonts w:ascii="Arial" w:hAnsi="Arial" w:cs="Arial"/>
            <w:sz w:val="24"/>
            <w:szCs w:val="24"/>
          </w:rPr>
          <w:t xml:space="preserve">RAP </w:t>
        </w:r>
        <w:r w:rsidR="00F354CD" w:rsidRPr="00151581">
          <w:rPr>
            <w:rStyle w:val="Hyperlink"/>
            <w:rFonts w:ascii="Arial" w:hAnsi="Arial" w:cs="Arial"/>
            <w:sz w:val="24"/>
            <w:szCs w:val="24"/>
          </w:rPr>
          <w:t>8</w:t>
        </w:r>
        <w:r w:rsidRPr="00151581">
          <w:rPr>
            <w:rStyle w:val="Hyperlink"/>
            <w:rFonts w:ascii="Arial" w:hAnsi="Arial" w:cs="Arial"/>
            <w:sz w:val="24"/>
            <w:szCs w:val="24"/>
          </w:rPr>
          <w:t>.1(b)(1)</w:t>
        </w:r>
      </w:hyperlink>
      <w:r w:rsidRPr="00151581">
        <w:rPr>
          <w:rFonts w:ascii="Arial" w:hAnsi="Arial" w:cs="Arial"/>
          <w:sz w:val="24"/>
          <w:szCs w:val="24"/>
        </w:rPr>
        <w:t xml:space="preserve"> (monetary judgments), RAP </w:t>
      </w:r>
      <w:hyperlink r:id="rId14" w:history="1">
        <w:r w:rsidRPr="001F250A">
          <w:rPr>
            <w:rStyle w:val="Hyperlink"/>
            <w:rFonts w:ascii="Arial" w:hAnsi="Arial" w:cs="Arial"/>
            <w:sz w:val="24"/>
            <w:szCs w:val="24"/>
          </w:rPr>
          <w:t>8.1(b)(2)</w:t>
        </w:r>
      </w:hyperlink>
      <w:r w:rsidRPr="00151581">
        <w:rPr>
          <w:rFonts w:ascii="Arial" w:hAnsi="Arial" w:cs="Arial"/>
          <w:sz w:val="24"/>
          <w:szCs w:val="24"/>
        </w:rPr>
        <w:t xml:space="preserve"> (property</w:t>
      </w:r>
      <w:r w:rsidR="00F354CD" w:rsidRPr="00151581">
        <w:rPr>
          <w:rFonts w:ascii="Arial" w:hAnsi="Arial" w:cs="Arial"/>
          <w:sz w:val="24"/>
          <w:szCs w:val="24"/>
        </w:rPr>
        <w:t>)</w:t>
      </w:r>
      <w:r w:rsidRPr="00151581">
        <w:rPr>
          <w:rFonts w:ascii="Arial" w:hAnsi="Arial" w:cs="Arial"/>
          <w:sz w:val="24"/>
          <w:szCs w:val="24"/>
        </w:rPr>
        <w:t xml:space="preserve">, or statute are covered by </w:t>
      </w:r>
      <w:hyperlink r:id="rId15" w:history="1">
        <w:r w:rsidRPr="001F250A">
          <w:rPr>
            <w:rStyle w:val="Hyperlink"/>
            <w:rFonts w:ascii="Arial" w:hAnsi="Arial" w:cs="Arial"/>
            <w:sz w:val="24"/>
            <w:szCs w:val="24"/>
          </w:rPr>
          <w:t>RAP 8.1(b)(3)</w:t>
        </w:r>
      </w:hyperlink>
      <w:r w:rsidRPr="00151581">
        <w:rPr>
          <w:rFonts w:ascii="Arial" w:hAnsi="Arial" w:cs="Arial"/>
          <w:sz w:val="24"/>
          <w:szCs w:val="24"/>
        </w:rPr>
        <w:t xml:space="preserve"> or </w:t>
      </w:r>
      <w:hyperlink r:id="rId16" w:history="1">
        <w:r w:rsidRPr="00151581">
          <w:rPr>
            <w:rStyle w:val="Hyperlink"/>
            <w:rFonts w:ascii="Arial" w:hAnsi="Arial" w:cs="Arial"/>
            <w:sz w:val="24"/>
            <w:szCs w:val="24"/>
          </w:rPr>
          <w:t>RAP 8.3</w:t>
        </w:r>
      </w:hyperlink>
      <w:r w:rsidR="006E194C">
        <w:rPr>
          <w:rFonts w:ascii="Arial" w:hAnsi="Arial" w:cs="Arial"/>
          <w:sz w:val="24"/>
          <w:szCs w:val="24"/>
        </w:rPr>
        <w:t>:</w:t>
      </w:r>
    </w:p>
    <w:p w:rsidR="006E194C" w:rsidRPr="006E194C" w:rsidRDefault="006E194C" w:rsidP="006E194C">
      <w:pPr>
        <w:pStyle w:val="ListParagraph"/>
        <w:rPr>
          <w:rFonts w:ascii="Arial" w:hAnsi="Arial" w:cs="Arial"/>
          <w:sz w:val="24"/>
          <w:szCs w:val="24"/>
        </w:rPr>
      </w:pPr>
    </w:p>
    <w:p w:rsidR="006E194C" w:rsidRDefault="00151581" w:rsidP="006E194C">
      <w:pPr>
        <w:pStyle w:val="ListParagraph"/>
        <w:numPr>
          <w:ilvl w:val="2"/>
          <w:numId w:val="2"/>
        </w:numPr>
        <w:ind w:left="1170"/>
        <w:rPr>
          <w:rFonts w:ascii="Arial" w:hAnsi="Arial" w:cs="Arial"/>
          <w:sz w:val="24"/>
          <w:szCs w:val="24"/>
        </w:rPr>
      </w:pPr>
      <w:r>
        <w:rPr>
          <w:rFonts w:ascii="Arial" w:hAnsi="Arial" w:cs="Arial"/>
          <w:sz w:val="24"/>
          <w:szCs w:val="24"/>
        </w:rPr>
        <w:t xml:space="preserve"> </w:t>
      </w:r>
      <w:hyperlink r:id="rId17" w:history="1">
        <w:r w:rsidR="006457E8" w:rsidRPr="001F250A">
          <w:rPr>
            <w:rStyle w:val="Hyperlink"/>
            <w:rFonts w:ascii="Arial" w:hAnsi="Arial" w:cs="Arial"/>
            <w:sz w:val="24"/>
            <w:szCs w:val="24"/>
          </w:rPr>
          <w:t>RAP 8.1(b)(3)</w:t>
        </w:r>
      </w:hyperlink>
      <w:r w:rsidR="006457E8" w:rsidRPr="00151581">
        <w:rPr>
          <w:rFonts w:ascii="Arial" w:hAnsi="Arial" w:cs="Arial"/>
          <w:sz w:val="24"/>
          <w:szCs w:val="24"/>
        </w:rPr>
        <w:t xml:space="preserve"> provides, in relevant part:</w:t>
      </w:r>
      <w:r>
        <w:rPr>
          <w:rFonts w:ascii="Arial" w:hAnsi="Arial" w:cs="Arial"/>
          <w:sz w:val="24"/>
          <w:szCs w:val="24"/>
        </w:rPr>
        <w:t xml:space="preserve"> </w:t>
      </w:r>
      <w:r w:rsidR="006457E8" w:rsidRPr="00151581">
        <w:rPr>
          <w:rFonts w:ascii="Arial" w:hAnsi="Arial" w:cs="Arial"/>
          <w:sz w:val="24"/>
          <w:szCs w:val="24"/>
        </w:rPr>
        <w:t>“In evaluating whether to stay enforcement of such a decision, the appellate court will (i) consider whether the moving party can demonstrate that debatable issues are presented on appeal and (ii) compare the injury that would be suffered by the moving party if a stay were not imposed with the injury that would be suffered by the nonmoving party if a stay were imposed.”</w:t>
      </w:r>
    </w:p>
    <w:p w:rsidR="006E194C" w:rsidRDefault="006E194C" w:rsidP="006E194C">
      <w:pPr>
        <w:pStyle w:val="ListParagraph"/>
        <w:ind w:left="1170"/>
        <w:rPr>
          <w:rFonts w:ascii="Arial" w:hAnsi="Arial" w:cs="Arial"/>
          <w:sz w:val="24"/>
          <w:szCs w:val="24"/>
        </w:rPr>
      </w:pPr>
    </w:p>
    <w:p w:rsidR="00151581" w:rsidRPr="006E194C" w:rsidRDefault="007B6B0E" w:rsidP="006E194C">
      <w:pPr>
        <w:pStyle w:val="ListParagraph"/>
        <w:numPr>
          <w:ilvl w:val="2"/>
          <w:numId w:val="2"/>
        </w:numPr>
        <w:ind w:left="1170"/>
        <w:rPr>
          <w:rFonts w:ascii="Arial" w:hAnsi="Arial" w:cs="Arial"/>
          <w:sz w:val="24"/>
          <w:szCs w:val="24"/>
        </w:rPr>
      </w:pPr>
      <w:hyperlink r:id="rId18" w:history="1">
        <w:r w:rsidR="006457E8" w:rsidRPr="006E194C">
          <w:rPr>
            <w:rStyle w:val="Hyperlink"/>
            <w:rFonts w:ascii="Arial" w:hAnsi="Arial" w:cs="Arial"/>
            <w:sz w:val="24"/>
            <w:szCs w:val="24"/>
          </w:rPr>
          <w:t>RAP 8.3</w:t>
        </w:r>
      </w:hyperlink>
      <w:r w:rsidR="006457E8" w:rsidRPr="006E194C">
        <w:rPr>
          <w:rFonts w:ascii="Arial" w:hAnsi="Arial" w:cs="Arial"/>
          <w:sz w:val="24"/>
          <w:szCs w:val="24"/>
        </w:rPr>
        <w:t xml:space="preserve"> provides:</w:t>
      </w:r>
      <w:r w:rsidR="00151581" w:rsidRPr="006E194C">
        <w:rPr>
          <w:rFonts w:ascii="Arial" w:hAnsi="Arial" w:cs="Arial"/>
          <w:sz w:val="24"/>
          <w:szCs w:val="24"/>
        </w:rPr>
        <w:t xml:space="preserve"> </w:t>
      </w:r>
      <w:r w:rsidR="006457E8" w:rsidRPr="006E194C">
        <w:rPr>
          <w:rFonts w:ascii="Arial" w:hAnsi="Arial" w:cs="Arial"/>
          <w:sz w:val="24"/>
          <w:szCs w:val="24"/>
        </w:rPr>
        <w:t xml:space="preserve">“Except when prohibited by statute, the appellate court has authority to issue orders, before or after acceptance of review or in an original action under </w:t>
      </w:r>
      <w:hyperlink r:id="rId19" w:history="1">
        <w:r w:rsidR="006457E8" w:rsidRPr="006E194C">
          <w:rPr>
            <w:rStyle w:val="Hyperlink"/>
            <w:rFonts w:ascii="Arial" w:hAnsi="Arial" w:cs="Arial"/>
            <w:sz w:val="24"/>
            <w:szCs w:val="24"/>
          </w:rPr>
          <w:t>Title 16</w:t>
        </w:r>
      </w:hyperlink>
      <w:r w:rsidR="006457E8" w:rsidRPr="006E194C">
        <w:rPr>
          <w:rFonts w:ascii="Arial" w:hAnsi="Arial" w:cs="Arial"/>
          <w:sz w:val="24"/>
          <w:szCs w:val="24"/>
        </w:rPr>
        <w:t xml:space="preserve"> of these rules, to insure effective and equitable review, including authority to grant injunctive or other relief to a party. The appellate court will ordinarily condition the order on furnishing a bond or other security. A party seeking the relief provided by this rule should use the motion procedure provided in </w:t>
      </w:r>
      <w:hyperlink r:id="rId20" w:history="1">
        <w:r w:rsidR="006457E8" w:rsidRPr="006E194C">
          <w:rPr>
            <w:rStyle w:val="Hyperlink"/>
            <w:rFonts w:ascii="Arial" w:hAnsi="Arial" w:cs="Arial"/>
            <w:sz w:val="24"/>
            <w:szCs w:val="24"/>
          </w:rPr>
          <w:t>Title 17</w:t>
        </w:r>
      </w:hyperlink>
      <w:r w:rsidR="006457E8" w:rsidRPr="006E194C">
        <w:rPr>
          <w:rFonts w:ascii="Arial" w:hAnsi="Arial" w:cs="Arial"/>
          <w:sz w:val="24"/>
          <w:szCs w:val="24"/>
        </w:rPr>
        <w:t>.”</w:t>
      </w:r>
    </w:p>
    <w:p w:rsidR="001F250A" w:rsidRDefault="001F250A" w:rsidP="00D6693E">
      <w:pPr>
        <w:pStyle w:val="ListParagraph"/>
        <w:ind w:left="900"/>
        <w:rPr>
          <w:rFonts w:ascii="Arial" w:hAnsi="Arial" w:cs="Arial"/>
          <w:sz w:val="24"/>
          <w:szCs w:val="24"/>
        </w:rPr>
      </w:pPr>
    </w:p>
    <w:p w:rsidR="00151581" w:rsidRDefault="00F354CD" w:rsidP="00D6693E">
      <w:pPr>
        <w:pStyle w:val="ListParagraph"/>
        <w:numPr>
          <w:ilvl w:val="1"/>
          <w:numId w:val="2"/>
        </w:numPr>
        <w:ind w:left="900"/>
        <w:rPr>
          <w:rFonts w:ascii="Arial" w:hAnsi="Arial" w:cs="Arial"/>
          <w:sz w:val="24"/>
          <w:szCs w:val="24"/>
        </w:rPr>
      </w:pPr>
      <w:r w:rsidRPr="00151581">
        <w:rPr>
          <w:rFonts w:ascii="Arial" w:hAnsi="Arial" w:cs="Arial"/>
          <w:sz w:val="24"/>
          <w:szCs w:val="24"/>
        </w:rPr>
        <w:t xml:space="preserve">If your motion is seeking to stay a criminal or juvenile court case, please review </w:t>
      </w:r>
      <w:hyperlink r:id="rId21" w:history="1">
        <w:r w:rsidRPr="00151581">
          <w:rPr>
            <w:rStyle w:val="Hyperlink"/>
            <w:rFonts w:ascii="Arial" w:hAnsi="Arial" w:cs="Arial"/>
            <w:sz w:val="24"/>
            <w:szCs w:val="24"/>
          </w:rPr>
          <w:t>RAP 8.2</w:t>
        </w:r>
      </w:hyperlink>
      <w:r w:rsidRPr="00151581">
        <w:rPr>
          <w:rFonts w:ascii="Arial" w:hAnsi="Arial" w:cs="Arial"/>
          <w:sz w:val="24"/>
          <w:szCs w:val="24"/>
        </w:rPr>
        <w:t>.</w:t>
      </w:r>
    </w:p>
    <w:p w:rsidR="001F250A" w:rsidRDefault="001F250A" w:rsidP="00D6693E">
      <w:pPr>
        <w:pStyle w:val="ListParagraph"/>
        <w:ind w:left="900"/>
        <w:rPr>
          <w:rFonts w:ascii="Arial" w:hAnsi="Arial" w:cs="Arial"/>
          <w:sz w:val="24"/>
          <w:szCs w:val="24"/>
        </w:rPr>
      </w:pPr>
    </w:p>
    <w:p w:rsidR="001F250A" w:rsidRPr="00911EE4" w:rsidRDefault="00F354CD" w:rsidP="00911EE4">
      <w:pPr>
        <w:pStyle w:val="ListParagraph"/>
        <w:numPr>
          <w:ilvl w:val="1"/>
          <w:numId w:val="2"/>
        </w:numPr>
        <w:ind w:left="900"/>
        <w:rPr>
          <w:rFonts w:ascii="Arial" w:hAnsi="Arial" w:cs="Arial"/>
          <w:sz w:val="24"/>
          <w:szCs w:val="24"/>
        </w:rPr>
      </w:pPr>
      <w:r w:rsidRPr="001F250A">
        <w:rPr>
          <w:rFonts w:ascii="Arial" w:hAnsi="Arial" w:cs="Arial"/>
          <w:sz w:val="24"/>
          <w:szCs w:val="24"/>
        </w:rPr>
        <w:t xml:space="preserve">Other relevant stay provisions are contained in other sections of </w:t>
      </w:r>
      <w:hyperlink r:id="rId22" w:history="1">
        <w:r w:rsidRPr="001F250A">
          <w:rPr>
            <w:rStyle w:val="Hyperlink"/>
            <w:rFonts w:ascii="Arial" w:hAnsi="Arial" w:cs="Arial"/>
            <w:sz w:val="24"/>
            <w:szCs w:val="24"/>
          </w:rPr>
          <w:t>RAP Title 8</w:t>
        </w:r>
      </w:hyperlink>
      <w:r w:rsidR="00151581" w:rsidRPr="001F250A">
        <w:rPr>
          <w:rFonts w:ascii="Arial" w:hAnsi="Arial" w:cs="Arial"/>
          <w:sz w:val="24"/>
          <w:szCs w:val="24"/>
        </w:rPr>
        <w:t>.</w:t>
      </w:r>
    </w:p>
    <w:sectPr w:rsidR="001F250A" w:rsidRPr="0091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90557"/>
    <w:multiLevelType w:val="hybridMultilevel"/>
    <w:tmpl w:val="365CB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537D6"/>
    <w:multiLevelType w:val="hybridMultilevel"/>
    <w:tmpl w:val="89FAD7EC"/>
    <w:lvl w:ilvl="0" w:tplc="A566A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92"/>
    <w:rsid w:val="00092E76"/>
    <w:rsid w:val="00151581"/>
    <w:rsid w:val="00155343"/>
    <w:rsid w:val="001F250A"/>
    <w:rsid w:val="002C2A92"/>
    <w:rsid w:val="00483B71"/>
    <w:rsid w:val="00507E35"/>
    <w:rsid w:val="00563564"/>
    <w:rsid w:val="006117F5"/>
    <w:rsid w:val="006457E8"/>
    <w:rsid w:val="006E194C"/>
    <w:rsid w:val="007A53B6"/>
    <w:rsid w:val="007B6B0E"/>
    <w:rsid w:val="00810EFB"/>
    <w:rsid w:val="00911EE4"/>
    <w:rsid w:val="00CE79C8"/>
    <w:rsid w:val="00D47534"/>
    <w:rsid w:val="00D6693E"/>
    <w:rsid w:val="00E73779"/>
    <w:rsid w:val="00F354CD"/>
    <w:rsid w:val="00FC74D0"/>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AB40"/>
  <w15:chartTrackingRefBased/>
  <w15:docId w15:val="{392287D6-0CE5-449F-B4FE-840BC9B8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92"/>
    <w:pPr>
      <w:ind w:left="720"/>
      <w:contextualSpacing/>
    </w:pPr>
  </w:style>
  <w:style w:type="character" w:styleId="Hyperlink">
    <w:name w:val="Hyperlink"/>
    <w:basedOn w:val="DefaultParagraphFont"/>
    <w:uiPriority w:val="99"/>
    <w:unhideWhenUsed/>
    <w:rsid w:val="002C2A92"/>
    <w:rPr>
      <w:color w:val="0563C1" w:themeColor="hyperlink"/>
      <w:u w:val="single"/>
    </w:rPr>
  </w:style>
  <w:style w:type="character" w:styleId="UnresolvedMention">
    <w:name w:val="Unresolved Mention"/>
    <w:basedOn w:val="DefaultParagraphFont"/>
    <w:uiPriority w:val="99"/>
    <w:semiHidden/>
    <w:unhideWhenUsed/>
    <w:rsid w:val="002C2A92"/>
    <w:rPr>
      <w:color w:val="605E5C"/>
      <w:shd w:val="clear" w:color="auto" w:fill="E1DFDD"/>
    </w:rPr>
  </w:style>
  <w:style w:type="paragraph" w:styleId="BalloonText">
    <w:name w:val="Balloon Text"/>
    <w:basedOn w:val="Normal"/>
    <w:link w:val="BalloonTextChar"/>
    <w:uiPriority w:val="99"/>
    <w:semiHidden/>
    <w:unhideWhenUsed/>
    <w:rsid w:val="00810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FB"/>
    <w:rPr>
      <w:rFonts w:ascii="Segoe UI" w:hAnsi="Segoe UI" w:cs="Segoe UI"/>
      <w:sz w:val="18"/>
      <w:szCs w:val="18"/>
    </w:rPr>
  </w:style>
  <w:style w:type="character" w:styleId="FollowedHyperlink">
    <w:name w:val="FollowedHyperlink"/>
    <w:basedOn w:val="DefaultParagraphFont"/>
    <w:uiPriority w:val="99"/>
    <w:semiHidden/>
    <w:unhideWhenUsed/>
    <w:rsid w:val="00FC7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wa.gov/courtrules/rulesofAppellateProcedure.cfm" TargetMode="External"/><Relationship Id="rId13" Type="http://schemas.openxmlformats.org/officeDocument/2006/relationships/hyperlink" Target="https://www.courts.wa.gov/court_rules/pdf/RAP/APP_RAP_08_01_00.pdf" TargetMode="External"/><Relationship Id="rId18" Type="http://schemas.openxmlformats.org/officeDocument/2006/relationships/hyperlink" Target="https://www.courts.wa.gov/court_rules/pdf/RAP/APP_RAP_08_03_00.pdf" TargetMode="External"/><Relationship Id="rId3" Type="http://schemas.openxmlformats.org/officeDocument/2006/relationships/styles" Target="styles.xml"/><Relationship Id="rId21" Type="http://schemas.openxmlformats.org/officeDocument/2006/relationships/hyperlink" Target="https://www.courts.wa.gov/court_rules/pdf/RAP/APP_RAP_08_02_00.pdf" TargetMode="External"/><Relationship Id="rId7" Type="http://schemas.openxmlformats.org/officeDocument/2006/relationships/hyperlink" Target="https://www.courts.wa.gov/court_rules/pdf/RAP/APP_RAP_17_04_00.pdf" TargetMode="External"/><Relationship Id="rId12" Type="http://schemas.openxmlformats.org/officeDocument/2006/relationships/hyperlink" Target="https://app.leg.wa.gov/RCW/default.aspx?cite=59.12" TargetMode="External"/><Relationship Id="rId17" Type="http://schemas.openxmlformats.org/officeDocument/2006/relationships/hyperlink" Target="https://www.courts.wa.gov/court_rules/pdf/RAP/APP_RAP_08_01_00.pdf" TargetMode="External"/><Relationship Id="rId2" Type="http://schemas.openxmlformats.org/officeDocument/2006/relationships/numbering" Target="numbering.xml"/><Relationship Id="rId16" Type="http://schemas.openxmlformats.org/officeDocument/2006/relationships/hyperlink" Target="https://www.courts.wa.gov/court_rules/pdf/RAP/APP_RAP_08_03_00.pdf" TargetMode="External"/><Relationship Id="rId20" Type="http://schemas.openxmlformats.org/officeDocument/2006/relationships/hyperlink" Target="https://www.courts.wa.gov/court_rules/?fa=court_rules.list&amp;amp%3Bgroup=app&amp;amp%3Bset=RAP" TargetMode="External"/><Relationship Id="rId1" Type="http://schemas.openxmlformats.org/officeDocument/2006/relationships/customXml" Target="../customXml/item1.xml"/><Relationship Id="rId6" Type="http://schemas.openxmlformats.org/officeDocument/2006/relationships/hyperlink" Target="https://www.courts.wa.gov/court_rules/pdf/RAP/APP_RAP_17_04_00.pdf" TargetMode="External"/><Relationship Id="rId11" Type="http://schemas.openxmlformats.org/officeDocument/2006/relationships/hyperlink" Target="https://www.courts.wa.gov/court_rules/pdf/RAP/APP_RAP_08_01_0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urts.wa.gov/court_rules/pdf/RAP/APP_RAP_08_01_00.pdf" TargetMode="External"/><Relationship Id="rId23" Type="http://schemas.openxmlformats.org/officeDocument/2006/relationships/fontTable" Target="fontTable.xml"/><Relationship Id="rId10" Type="http://schemas.openxmlformats.org/officeDocument/2006/relationships/hyperlink" Target="https://www.courts.wa.gov/court_rules/pdf/RAP/APP_RAP_08_01_00.pdf" TargetMode="External"/><Relationship Id="rId19" Type="http://schemas.openxmlformats.org/officeDocument/2006/relationships/hyperlink" Target="https://www.courts.wa.gov/court_rules/?fa=court_rules.list&amp;amp%3Bgroup=app&amp;amp%3Bset=RAP" TargetMode="External"/><Relationship Id="rId4" Type="http://schemas.openxmlformats.org/officeDocument/2006/relationships/settings" Target="settings.xml"/><Relationship Id="rId9" Type="http://schemas.openxmlformats.org/officeDocument/2006/relationships/hyperlink" Target="https://www.courts.wa.gov/courtrules/rulesofAppellateProcedure.cfm" TargetMode="External"/><Relationship Id="rId14" Type="http://schemas.openxmlformats.org/officeDocument/2006/relationships/hyperlink" Target="https://www.courts.wa.gov/court_rules/pdf/RAP/APP_RAP_08_01_00.pdf" TargetMode="External"/><Relationship Id="rId22" Type="http://schemas.openxmlformats.org/officeDocument/2006/relationships/hyperlink" Target="https://www.courts.wa.gov/court_rules/?fa=court_rules.list&amp;amp%3Bgroup=app&amp;amp%3Bset=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7162-2B80-4BD2-9C05-46F214A6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Bearse, Aurora</dc:creator>
  <cp:keywords/>
  <dc:description/>
  <cp:lastModifiedBy>Finigan, Dea</cp:lastModifiedBy>
  <cp:revision>8</cp:revision>
  <cp:lastPrinted>2025-04-24T22:18:00Z</cp:lastPrinted>
  <dcterms:created xsi:type="dcterms:W3CDTF">2025-04-07T18:11:00Z</dcterms:created>
  <dcterms:modified xsi:type="dcterms:W3CDTF">2025-05-08T16:31:00Z</dcterms:modified>
</cp:coreProperties>
</file>